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7123" w:rsidRDefault="00000000">
      <w:pPr>
        <w:tabs>
          <w:tab w:val="center" w:pos="1440"/>
          <w:tab w:val="center" w:pos="2160"/>
          <w:tab w:val="center" w:pos="5152"/>
        </w:tabs>
        <w:spacing w:after="0" w:line="259" w:lineRule="auto"/>
        <w:ind w:left="-15" w:firstLine="0"/>
        <w:jc w:val="left"/>
      </w:pPr>
      <w:r>
        <w:rPr>
          <w:rFonts w:ascii="Verdana" w:eastAsia="Verdana" w:hAnsi="Verdana" w:cs="Verdana"/>
          <w:sz w:val="18"/>
        </w:rPr>
        <w:t xml:space="preserve">Investor: </w:t>
      </w:r>
      <w:r>
        <w:rPr>
          <w:rFonts w:ascii="Verdana" w:eastAsia="Verdana" w:hAnsi="Verdana" w:cs="Verdana"/>
          <w:sz w:val="18"/>
        </w:rPr>
        <w:tab/>
        <w:t xml:space="preserve"> </w:t>
      </w:r>
      <w:r>
        <w:rPr>
          <w:rFonts w:ascii="Verdana" w:eastAsia="Verdana" w:hAnsi="Verdana" w:cs="Verdana"/>
          <w:sz w:val="18"/>
        </w:rPr>
        <w:tab/>
        <w:t xml:space="preserve"> </w:t>
      </w:r>
      <w:r>
        <w:rPr>
          <w:rFonts w:ascii="Verdana" w:eastAsia="Verdana" w:hAnsi="Verdana" w:cs="Verdana"/>
          <w:sz w:val="18"/>
        </w:rPr>
        <w:tab/>
        <w:t xml:space="preserve">statutární město Liberec, nám. Dr. E. Beneše 1/1,  </w:t>
      </w:r>
    </w:p>
    <w:p w:rsidR="006B7123" w:rsidRDefault="00000000">
      <w:pPr>
        <w:spacing w:after="0" w:line="259" w:lineRule="auto"/>
        <w:ind w:left="2891" w:hanging="10"/>
        <w:jc w:val="left"/>
      </w:pPr>
      <w:r>
        <w:rPr>
          <w:rFonts w:ascii="Verdana" w:eastAsia="Verdana" w:hAnsi="Verdana" w:cs="Verdana"/>
          <w:sz w:val="18"/>
        </w:rPr>
        <w:t xml:space="preserve">460 01 Liberec </w:t>
      </w:r>
      <w:proofErr w:type="gramStart"/>
      <w:r>
        <w:rPr>
          <w:rFonts w:ascii="Verdana" w:eastAsia="Verdana" w:hAnsi="Verdana" w:cs="Verdana"/>
          <w:sz w:val="18"/>
        </w:rPr>
        <w:t>I - Staré</w:t>
      </w:r>
      <w:proofErr w:type="gramEnd"/>
      <w:r>
        <w:rPr>
          <w:rFonts w:ascii="Verdana" w:eastAsia="Verdana" w:hAnsi="Verdana" w:cs="Verdana"/>
          <w:sz w:val="18"/>
        </w:rPr>
        <w:t xml:space="preserve"> Město, IČ 00262978 </w:t>
      </w:r>
    </w:p>
    <w:p w:rsidR="006B7123" w:rsidRDefault="00000000">
      <w:pPr>
        <w:tabs>
          <w:tab w:val="center" w:pos="1440"/>
          <w:tab w:val="center" w:pos="2160"/>
          <w:tab w:val="center" w:pos="4146"/>
        </w:tabs>
        <w:spacing w:after="0" w:line="259" w:lineRule="auto"/>
        <w:ind w:left="-15" w:firstLine="0"/>
        <w:jc w:val="left"/>
      </w:pPr>
      <w:r>
        <w:rPr>
          <w:rFonts w:ascii="Verdana" w:eastAsia="Verdana" w:hAnsi="Verdana" w:cs="Verdana"/>
          <w:sz w:val="18"/>
        </w:rPr>
        <w:t xml:space="preserve">Stavba: </w:t>
      </w:r>
      <w:r>
        <w:rPr>
          <w:rFonts w:ascii="Verdana" w:eastAsia="Verdana" w:hAnsi="Verdana" w:cs="Verdana"/>
          <w:sz w:val="18"/>
        </w:rPr>
        <w:tab/>
        <w:t xml:space="preserve"> </w:t>
      </w:r>
      <w:r>
        <w:rPr>
          <w:rFonts w:ascii="Verdana" w:eastAsia="Verdana" w:hAnsi="Verdana" w:cs="Verdana"/>
          <w:sz w:val="18"/>
        </w:rPr>
        <w:tab/>
        <w:t xml:space="preserve"> </w:t>
      </w:r>
      <w:r>
        <w:rPr>
          <w:rFonts w:ascii="Verdana" w:eastAsia="Verdana" w:hAnsi="Verdana" w:cs="Verdana"/>
          <w:sz w:val="18"/>
        </w:rPr>
        <w:tab/>
        <w:t xml:space="preserve">Umístění kanceláří a zázemí </w:t>
      </w:r>
    </w:p>
    <w:p w:rsidR="006B7123" w:rsidRDefault="00000000">
      <w:pPr>
        <w:spacing w:after="0" w:line="259" w:lineRule="auto"/>
        <w:ind w:left="10" w:right="731" w:hanging="10"/>
        <w:jc w:val="center"/>
      </w:pPr>
      <w:r>
        <w:rPr>
          <w:rFonts w:ascii="Verdana" w:eastAsia="Verdana" w:hAnsi="Verdana" w:cs="Verdana"/>
          <w:sz w:val="18"/>
        </w:rPr>
        <w:t xml:space="preserve">odboru sociální péče MML v 1.NP </w:t>
      </w:r>
    </w:p>
    <w:p w:rsidR="006B7123" w:rsidRDefault="00000000">
      <w:pPr>
        <w:spacing w:after="0" w:line="259" w:lineRule="auto"/>
        <w:ind w:left="10" w:right="807" w:hanging="10"/>
        <w:jc w:val="center"/>
      </w:pPr>
      <w:r>
        <w:rPr>
          <w:rFonts w:ascii="Verdana" w:eastAsia="Verdana" w:hAnsi="Verdana" w:cs="Verdana"/>
          <w:sz w:val="18"/>
        </w:rPr>
        <w:t xml:space="preserve">administrativního objektu URAN </w:t>
      </w:r>
    </w:p>
    <w:p w:rsidR="006B7123" w:rsidRDefault="00000000">
      <w:pPr>
        <w:tabs>
          <w:tab w:val="center" w:pos="3066"/>
        </w:tabs>
        <w:spacing w:after="0" w:line="259" w:lineRule="auto"/>
        <w:ind w:left="-15" w:firstLine="0"/>
        <w:jc w:val="left"/>
      </w:pPr>
      <w:r>
        <w:rPr>
          <w:rFonts w:ascii="Verdana" w:eastAsia="Verdana" w:hAnsi="Verdana" w:cs="Verdana"/>
          <w:sz w:val="18"/>
        </w:rPr>
        <w:t xml:space="preserve">Stupeň </w:t>
      </w:r>
      <w:proofErr w:type="gramStart"/>
      <w:r>
        <w:rPr>
          <w:rFonts w:ascii="Verdana" w:eastAsia="Verdana" w:hAnsi="Verdana" w:cs="Verdana"/>
          <w:sz w:val="18"/>
        </w:rPr>
        <w:t xml:space="preserve">dokumentace:  </w:t>
      </w:r>
      <w:r>
        <w:rPr>
          <w:rFonts w:ascii="Verdana" w:eastAsia="Verdana" w:hAnsi="Verdana" w:cs="Verdana"/>
          <w:sz w:val="18"/>
        </w:rPr>
        <w:tab/>
      </w:r>
      <w:proofErr w:type="gramEnd"/>
      <w:r>
        <w:rPr>
          <w:rFonts w:ascii="Verdana" w:eastAsia="Verdana" w:hAnsi="Verdana" w:cs="Verdana"/>
          <w:sz w:val="18"/>
        </w:rPr>
        <w:t xml:space="preserve">DPS </w:t>
      </w:r>
    </w:p>
    <w:p w:rsidR="006B7123" w:rsidRDefault="00000000">
      <w:pPr>
        <w:tabs>
          <w:tab w:val="center" w:pos="2160"/>
          <w:tab w:val="center" w:pos="3152"/>
        </w:tabs>
        <w:spacing w:after="0" w:line="259" w:lineRule="auto"/>
        <w:ind w:left="-15" w:firstLine="0"/>
        <w:jc w:val="left"/>
      </w:pPr>
      <w:r>
        <w:rPr>
          <w:rFonts w:ascii="Verdana" w:eastAsia="Verdana" w:hAnsi="Verdana" w:cs="Verdana"/>
          <w:sz w:val="18"/>
        </w:rPr>
        <w:t xml:space="preserve">Číslo </w:t>
      </w:r>
      <w:proofErr w:type="gramStart"/>
      <w:r>
        <w:rPr>
          <w:rFonts w:ascii="Verdana" w:eastAsia="Verdana" w:hAnsi="Verdana" w:cs="Verdana"/>
          <w:sz w:val="18"/>
        </w:rPr>
        <w:t xml:space="preserve">zakázky:   </w:t>
      </w:r>
      <w:proofErr w:type="gramEnd"/>
      <w:r>
        <w:rPr>
          <w:rFonts w:ascii="Verdana" w:eastAsia="Verdana" w:hAnsi="Verdana" w:cs="Verdana"/>
          <w:sz w:val="18"/>
        </w:rPr>
        <w:tab/>
        <w:t xml:space="preserve"> </w:t>
      </w:r>
      <w:r>
        <w:rPr>
          <w:rFonts w:ascii="Verdana" w:eastAsia="Verdana" w:hAnsi="Verdana" w:cs="Verdana"/>
          <w:sz w:val="18"/>
        </w:rPr>
        <w:tab/>
        <w:t xml:space="preserve">13/25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62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0" w:right="1118" w:firstLine="0"/>
        <w:jc w:val="right"/>
      </w:pPr>
      <w:r>
        <w:rPr>
          <w:rFonts w:ascii="Verdana" w:eastAsia="Verdana" w:hAnsi="Verdana" w:cs="Verdana"/>
          <w:b/>
          <w:sz w:val="28"/>
          <w:u w:val="single" w:color="000000"/>
        </w:rPr>
        <w:t xml:space="preserve">D </w:t>
      </w:r>
      <w:proofErr w:type="gramStart"/>
      <w:r>
        <w:rPr>
          <w:rFonts w:ascii="Verdana" w:eastAsia="Verdana" w:hAnsi="Verdana" w:cs="Verdana"/>
          <w:b/>
          <w:sz w:val="28"/>
          <w:u w:val="single" w:color="000000"/>
        </w:rPr>
        <w:t>1.2.1  ZDRAVOTNĚ</w:t>
      </w:r>
      <w:proofErr w:type="gramEnd"/>
      <w:r>
        <w:rPr>
          <w:rFonts w:ascii="Verdana" w:eastAsia="Verdana" w:hAnsi="Verdana" w:cs="Verdana"/>
          <w:b/>
          <w:sz w:val="28"/>
          <w:u w:val="single" w:color="000000"/>
        </w:rPr>
        <w:t xml:space="preserve"> TECHNICKÉ INSTALACE</w:t>
      </w:r>
      <w:r>
        <w:rPr>
          <w:rFonts w:ascii="Verdana" w:eastAsia="Verdana" w:hAnsi="Verdana" w:cs="Verdana"/>
          <w:b/>
          <w:sz w:val="28"/>
        </w:rPr>
        <w:t xml:space="preserve"> </w:t>
      </w:r>
    </w:p>
    <w:p w:rsidR="006B7123" w:rsidRDefault="00000000">
      <w:pPr>
        <w:spacing w:after="0" w:line="259" w:lineRule="auto"/>
        <w:ind w:left="272" w:firstLine="0"/>
        <w:jc w:val="center"/>
      </w:pPr>
      <w:r>
        <w:rPr>
          <w:rFonts w:ascii="Verdana" w:eastAsia="Verdana" w:hAnsi="Verdana" w:cs="Verdana"/>
          <w:sz w:val="28"/>
        </w:rPr>
        <w:t xml:space="preserve"> </w:t>
      </w:r>
    </w:p>
    <w:p w:rsidR="006B7123" w:rsidRDefault="00000000">
      <w:pPr>
        <w:spacing w:after="0" w:line="259" w:lineRule="auto"/>
        <w:ind w:left="175" w:firstLine="0"/>
        <w:jc w:val="center"/>
      </w:pPr>
      <w:r>
        <w:rPr>
          <w:rFonts w:ascii="Verdana" w:eastAsia="Verdana" w:hAnsi="Verdana" w:cs="Verdana"/>
          <w:sz w:val="28"/>
        </w:rPr>
        <w:t xml:space="preserve">Technická zpráva  </w:t>
      </w:r>
    </w:p>
    <w:p w:rsidR="006B7123" w:rsidRDefault="00000000">
      <w:pPr>
        <w:spacing w:after="0" w:line="259" w:lineRule="auto"/>
        <w:ind w:left="228" w:firstLine="0"/>
        <w:jc w:val="center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0" w:line="259" w:lineRule="auto"/>
        <w:ind w:left="284" w:firstLine="0"/>
        <w:jc w:val="left"/>
      </w:pPr>
      <w:r>
        <w:t xml:space="preserve"> </w:t>
      </w:r>
    </w:p>
    <w:p w:rsidR="006B7123" w:rsidRDefault="00000000">
      <w:pPr>
        <w:spacing w:after="24" w:line="259" w:lineRule="auto"/>
        <w:ind w:left="567" w:firstLine="0"/>
        <w:jc w:val="left"/>
      </w:pPr>
      <w:r>
        <w:t xml:space="preserve"> </w:t>
      </w:r>
    </w:p>
    <w:p w:rsidR="006B7123" w:rsidRDefault="00000000">
      <w:pPr>
        <w:spacing w:after="174" w:line="259" w:lineRule="auto"/>
        <w:ind w:left="567" w:firstLine="0"/>
        <w:jc w:val="left"/>
      </w:pPr>
      <w:r>
        <w:rPr>
          <w:rFonts w:ascii="Verdana" w:eastAsia="Verdana" w:hAnsi="Verdana" w:cs="Verdana"/>
          <w:b/>
          <w:sz w:val="24"/>
        </w:rPr>
        <w:t>Obsah:</w:t>
      </w:r>
      <w:r>
        <w:rPr>
          <w:rFonts w:ascii="Verdana" w:eastAsia="Verdana" w:hAnsi="Verdana" w:cs="Verdana"/>
          <w:sz w:val="24"/>
        </w:rPr>
        <w:t xml:space="preserve"> </w:t>
      </w:r>
    </w:p>
    <w:p w:rsidR="006B7123" w:rsidRDefault="00000000">
      <w:pPr>
        <w:spacing w:after="218" w:line="259" w:lineRule="auto"/>
        <w:ind w:left="567" w:firstLine="0"/>
        <w:jc w:val="left"/>
      </w:pPr>
      <w:r>
        <w:rPr>
          <w:rFonts w:ascii="Verdana" w:eastAsia="Verdana" w:hAnsi="Verdana" w:cs="Verdana"/>
        </w:rPr>
        <w:t xml:space="preserve">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Úvod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Podklady pro zpracování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Kanalizační přípojka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Vnitřní kanalizace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Dešťová kanalizace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Vodovodní přípojka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Vnitřní vodovod </w:t>
      </w:r>
    </w:p>
    <w:p w:rsidR="006B7123" w:rsidRDefault="00000000">
      <w:pPr>
        <w:numPr>
          <w:ilvl w:val="0"/>
          <w:numId w:val="1"/>
        </w:numPr>
        <w:spacing w:after="219" w:line="259" w:lineRule="auto"/>
        <w:ind w:hanging="269"/>
        <w:jc w:val="left"/>
      </w:pPr>
      <w:r>
        <w:rPr>
          <w:rFonts w:ascii="Verdana" w:eastAsia="Verdana" w:hAnsi="Verdana" w:cs="Verdana"/>
        </w:rPr>
        <w:t xml:space="preserve">Závěr </w:t>
      </w:r>
    </w:p>
    <w:p w:rsidR="006B7123" w:rsidRDefault="00000000">
      <w:pPr>
        <w:spacing w:after="0" w:line="259" w:lineRule="auto"/>
        <w:ind w:left="567" w:firstLine="0"/>
        <w:jc w:val="left"/>
      </w:pPr>
      <w:r>
        <w:lastRenderedPageBreak/>
        <w:t xml:space="preserve"> </w:t>
      </w:r>
      <w:r>
        <w:br w:type="page"/>
      </w:r>
    </w:p>
    <w:p w:rsidR="006B7123" w:rsidRDefault="00000000">
      <w:pPr>
        <w:numPr>
          <w:ilvl w:val="1"/>
          <w:numId w:val="1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lastRenderedPageBreak/>
        <w:t>Úvod:</w:t>
      </w:r>
      <w:r>
        <w:rPr>
          <w:b/>
        </w:rPr>
        <w:t xml:space="preserve"> </w:t>
      </w:r>
    </w:p>
    <w:p w:rsidR="006B7123" w:rsidRDefault="00000000">
      <w:pPr>
        <w:spacing w:after="26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ind w:left="77"/>
      </w:pPr>
      <w:r>
        <w:t xml:space="preserve">Projekt </w:t>
      </w:r>
      <w:proofErr w:type="gramStart"/>
      <w:r>
        <w:t>zdravotně - technických</w:t>
      </w:r>
      <w:proofErr w:type="gramEnd"/>
      <w:r>
        <w:t xml:space="preserve"> instalací řeší vnitřní kanalizaci a vnitřní vodovod ve stávajícím objektu, ve kterém jsou v 1.NP prováděny stavební úpravy.  </w:t>
      </w:r>
    </w:p>
    <w:p w:rsidR="006B7123" w:rsidRDefault="00000000">
      <w:pPr>
        <w:ind w:left="900" w:firstLine="0"/>
      </w:pPr>
      <w:r>
        <w:t xml:space="preserve">Jedná se o objektu </w:t>
      </w:r>
      <w:proofErr w:type="spellStart"/>
      <w:r>
        <w:t>URANu</w:t>
      </w:r>
      <w:proofErr w:type="spellEnd"/>
      <w:r>
        <w:t xml:space="preserve">, tato část slouží jako odbor sociální péče MML.  </w:t>
      </w:r>
    </w:p>
    <w:p w:rsidR="006B7123" w:rsidRDefault="00000000">
      <w:pPr>
        <w:ind w:left="900" w:firstLine="0"/>
      </w:pPr>
      <w:r>
        <w:t xml:space="preserve">Objekt je napojen stávajícími přípojkami na stávající sítě. </w:t>
      </w:r>
    </w:p>
    <w:p w:rsidR="006B7123" w:rsidRDefault="00000000">
      <w:pPr>
        <w:ind w:left="77"/>
      </w:pPr>
      <w:r>
        <w:t xml:space="preserve">Kanalizace i vodovod v části objektu, která nebude dotčena stavebními úpravami, budou beze změny.  </w:t>
      </w:r>
    </w:p>
    <w:p w:rsidR="006B7123" w:rsidRDefault="00000000">
      <w:pPr>
        <w:ind w:left="900" w:firstLine="0"/>
      </w:pPr>
      <w:r>
        <w:t xml:space="preserve">Jedná se o vnitřní úpravy objektu, řešení likvidace dešťových vod bude beze změny.  </w:t>
      </w:r>
    </w:p>
    <w:p w:rsidR="006B7123" w:rsidRDefault="00000000">
      <w:pPr>
        <w:spacing w:after="25" w:line="259" w:lineRule="auto"/>
        <w:ind w:left="910" w:hanging="10"/>
        <w:jc w:val="left"/>
      </w:pPr>
      <w:r>
        <w:rPr>
          <w:u w:val="single" w:color="000000"/>
        </w:rPr>
        <w:t>Místa napojení v objektu budou upřesněna po odkrytí – aby došlo k co nejmenšímu</w:t>
      </w:r>
      <w:r>
        <w:t xml:space="preserve"> </w:t>
      </w:r>
    </w:p>
    <w:p w:rsidR="006B7123" w:rsidRDefault="00000000">
      <w:pPr>
        <w:spacing w:after="25" w:line="259" w:lineRule="auto"/>
        <w:ind w:left="87" w:hanging="10"/>
        <w:jc w:val="left"/>
      </w:pPr>
      <w:r>
        <w:rPr>
          <w:u w:val="single" w:color="000000"/>
        </w:rPr>
        <w:t>porušení neřešených částí objektu.</w:t>
      </w:r>
      <w:r>
        <w:t xml:space="preserve">  </w:t>
      </w:r>
    </w:p>
    <w:p w:rsidR="006B7123" w:rsidRDefault="00000000">
      <w:pPr>
        <w:spacing w:after="27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spacing w:after="24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numPr>
          <w:ilvl w:val="1"/>
          <w:numId w:val="1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t>Podklady pro zpracování projektu:</w:t>
      </w:r>
      <w:r>
        <w:rPr>
          <w:b/>
        </w:rPr>
        <w:t xml:space="preserve"> </w:t>
      </w:r>
    </w:p>
    <w:p w:rsidR="006B7123" w:rsidRDefault="00000000">
      <w:pPr>
        <w:spacing w:after="54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numPr>
          <w:ilvl w:val="1"/>
          <w:numId w:val="2"/>
        </w:numPr>
        <w:spacing w:after="41"/>
        <w:ind w:hanging="360"/>
      </w:pPr>
      <w:r>
        <w:t xml:space="preserve">situace a stavební dispozice </w:t>
      </w:r>
    </w:p>
    <w:p w:rsidR="006B7123" w:rsidRDefault="00000000">
      <w:pPr>
        <w:numPr>
          <w:ilvl w:val="1"/>
          <w:numId w:val="2"/>
        </w:numPr>
        <w:spacing w:after="39"/>
        <w:ind w:hanging="360"/>
      </w:pPr>
      <w:r>
        <w:t xml:space="preserve">zaměření stávajícího stavu </w:t>
      </w:r>
    </w:p>
    <w:p w:rsidR="006B7123" w:rsidRDefault="00000000">
      <w:pPr>
        <w:numPr>
          <w:ilvl w:val="1"/>
          <w:numId w:val="2"/>
        </w:numPr>
        <w:ind w:hanging="360"/>
      </w:pPr>
      <w:r>
        <w:t xml:space="preserve">podklady od správců sítí  </w:t>
      </w:r>
    </w:p>
    <w:p w:rsidR="006B7123" w:rsidRDefault="00000000">
      <w:pPr>
        <w:spacing w:after="24" w:line="259" w:lineRule="auto"/>
        <w:ind w:left="708" w:firstLine="0"/>
        <w:jc w:val="left"/>
      </w:pPr>
      <w:r>
        <w:t xml:space="preserve"> </w:t>
      </w:r>
    </w:p>
    <w:p w:rsidR="006B7123" w:rsidRDefault="00000000">
      <w:pPr>
        <w:spacing w:after="26" w:line="259" w:lineRule="auto"/>
        <w:ind w:left="708" w:firstLine="0"/>
        <w:jc w:val="left"/>
      </w:pPr>
      <w:r>
        <w:t xml:space="preserve"> </w:t>
      </w:r>
    </w:p>
    <w:p w:rsidR="006B7123" w:rsidRDefault="00000000">
      <w:pPr>
        <w:numPr>
          <w:ilvl w:val="1"/>
          <w:numId w:val="1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t>Kanalizační přípojka:</w:t>
      </w:r>
      <w:r>
        <w:rPr>
          <w:b/>
        </w:rPr>
        <w:t xml:space="preserve"> </w:t>
      </w:r>
    </w:p>
    <w:p w:rsidR="006B7123" w:rsidRDefault="00000000">
      <w:pPr>
        <w:spacing w:after="21" w:line="259" w:lineRule="auto"/>
        <w:ind w:left="708" w:firstLine="0"/>
        <w:jc w:val="left"/>
      </w:pPr>
      <w:r>
        <w:rPr>
          <w:rFonts w:ascii="Verdana" w:eastAsia="Verdana" w:hAnsi="Verdana" w:cs="Verdana"/>
        </w:rPr>
        <w:t xml:space="preserve"> </w:t>
      </w:r>
    </w:p>
    <w:p w:rsidR="006B7123" w:rsidRDefault="00000000">
      <w:pPr>
        <w:ind w:left="900" w:firstLine="0"/>
      </w:pPr>
      <w:r>
        <w:t xml:space="preserve">Stávající – beze změny. Neřeší se.  </w:t>
      </w:r>
    </w:p>
    <w:p w:rsidR="006B7123" w:rsidRDefault="00000000">
      <w:pPr>
        <w:spacing w:after="26" w:line="259" w:lineRule="auto"/>
        <w:ind w:left="900" w:firstLine="0"/>
        <w:jc w:val="left"/>
      </w:pPr>
      <w:r>
        <w:rPr>
          <w:b/>
        </w:rPr>
        <w:t xml:space="preserve">  </w:t>
      </w:r>
    </w:p>
    <w:p w:rsidR="006B7123" w:rsidRDefault="00000000">
      <w:pPr>
        <w:spacing w:after="24" w:line="259" w:lineRule="auto"/>
        <w:ind w:left="900" w:firstLine="0"/>
        <w:jc w:val="left"/>
      </w:pPr>
      <w:r>
        <w:rPr>
          <w:b/>
        </w:rPr>
        <w:t xml:space="preserve"> </w:t>
      </w:r>
    </w:p>
    <w:p w:rsidR="006B7123" w:rsidRDefault="00000000">
      <w:pPr>
        <w:numPr>
          <w:ilvl w:val="1"/>
          <w:numId w:val="1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t>Vnitřní kanalizace:</w:t>
      </w:r>
      <w:r>
        <w:rPr>
          <w:b/>
        </w:rPr>
        <w:t xml:space="preserve"> </w:t>
      </w:r>
    </w:p>
    <w:p w:rsidR="006B7123" w:rsidRDefault="00000000">
      <w:pPr>
        <w:spacing w:after="24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ind w:left="77"/>
      </w:pPr>
      <w:r>
        <w:t xml:space="preserve">Řeší odvedení splaškových vod od nových zařizovacích předmětů do stávajícího ležatého svodu.  </w:t>
      </w:r>
    </w:p>
    <w:p w:rsidR="006B7123" w:rsidRDefault="00000000">
      <w:pPr>
        <w:ind w:left="77"/>
      </w:pPr>
      <w:r>
        <w:t xml:space="preserve">Nové připojovací potrubí bude z PP-HT, svislé odpadní potrubí bude stávající – po odkrytí stávajícího potrubí může být dle technického stavu rozhodnuto o jeho výměně, ležatý svod bude </w:t>
      </w:r>
      <w:proofErr w:type="spellStart"/>
      <w:r>
        <w:t>stávajcí</w:t>
      </w:r>
      <w:proofErr w:type="spellEnd"/>
      <w:r>
        <w:t xml:space="preserve"> – beze změny. </w:t>
      </w:r>
    </w:p>
    <w:p w:rsidR="006B7123" w:rsidRDefault="00000000">
      <w:pPr>
        <w:ind w:left="900" w:firstLine="0"/>
      </w:pPr>
      <w:r>
        <w:t xml:space="preserve">Od nových zařizovacích předmětů bude vedeno nové připojovací potrubí. </w:t>
      </w:r>
    </w:p>
    <w:p w:rsidR="006B7123" w:rsidRDefault="00000000">
      <w:pPr>
        <w:ind w:left="77"/>
      </w:pPr>
      <w:r>
        <w:t xml:space="preserve">Po odkrytí stávajícího připojovacího potrubí (především v místě toalet a k nim náležících umýváren) může být rozhodnuto o zachování a použití stávajícího připojovacího potrubí.  </w:t>
      </w:r>
    </w:p>
    <w:p w:rsidR="006B7123" w:rsidRDefault="00000000">
      <w:pPr>
        <w:ind w:left="77"/>
      </w:pPr>
      <w:r>
        <w:t xml:space="preserve">Přesná poloha zařizovacích předmětů bude řešena v rámci projektu INT (v rámci řešení </w:t>
      </w:r>
      <w:proofErr w:type="spellStart"/>
      <w:r>
        <w:t>spárořezů</w:t>
      </w:r>
      <w:proofErr w:type="spellEnd"/>
      <w:r>
        <w:t xml:space="preserve">). </w:t>
      </w:r>
    </w:p>
    <w:p w:rsidR="006B7123" w:rsidRDefault="00000000">
      <w:pPr>
        <w:ind w:left="900" w:firstLine="0"/>
      </w:pPr>
      <w:r>
        <w:t xml:space="preserve">Potrubí je označeno dimenzí </w:t>
      </w:r>
      <w:proofErr w:type="spellStart"/>
      <w:r>
        <w:t>Dxt</w:t>
      </w:r>
      <w:proofErr w:type="spellEnd"/>
      <w:r>
        <w:t xml:space="preserve"> (v odůvodněných případech je označeno jmenovitou </w:t>
      </w:r>
    </w:p>
    <w:p w:rsidR="006B7123" w:rsidRDefault="00000000">
      <w:pPr>
        <w:ind w:left="77" w:firstLine="0"/>
      </w:pPr>
      <w:r>
        <w:t xml:space="preserve">světlostí DN).  </w:t>
      </w:r>
    </w:p>
    <w:p w:rsidR="006B7123" w:rsidRDefault="00000000">
      <w:pPr>
        <w:spacing w:after="26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spacing w:after="21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spacing w:after="19" w:line="259" w:lineRule="auto"/>
        <w:ind w:left="761" w:firstLine="0"/>
        <w:jc w:val="left"/>
      </w:pPr>
      <w:r>
        <w:rPr>
          <w:rFonts w:ascii="Verdana" w:eastAsia="Verdana" w:hAnsi="Verdana" w:cs="Verdana"/>
          <w:b/>
        </w:rPr>
        <w:t xml:space="preserve"> </w:t>
      </w:r>
    </w:p>
    <w:p w:rsidR="006B7123" w:rsidRDefault="00000000">
      <w:pPr>
        <w:numPr>
          <w:ilvl w:val="0"/>
          <w:numId w:val="3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t>Dešťová kanalizace:</w:t>
      </w:r>
      <w:r>
        <w:rPr>
          <w:b/>
        </w:rPr>
        <w:t xml:space="preserve"> </w:t>
      </w:r>
    </w:p>
    <w:p w:rsidR="006B7123" w:rsidRDefault="00000000">
      <w:pPr>
        <w:spacing w:after="19" w:line="259" w:lineRule="auto"/>
        <w:ind w:left="761" w:firstLine="0"/>
        <w:jc w:val="left"/>
      </w:pPr>
      <w:r>
        <w:rPr>
          <w:rFonts w:ascii="Verdana" w:eastAsia="Verdana" w:hAnsi="Verdana" w:cs="Verdana"/>
          <w:b/>
        </w:rPr>
        <w:t xml:space="preserve"> </w:t>
      </w:r>
    </w:p>
    <w:p w:rsidR="006B7123" w:rsidRDefault="00000000">
      <w:pPr>
        <w:ind w:left="77"/>
      </w:pPr>
      <w:r>
        <w:lastRenderedPageBreak/>
        <w:t xml:space="preserve">Předmětem projektu jsou pouze vnitřní úpravy části objektu, likvidace dešťových vod bude probíhat stávajícím způsobem – beze změny. </w:t>
      </w:r>
    </w:p>
    <w:p w:rsidR="006B7123" w:rsidRDefault="00000000">
      <w:pPr>
        <w:spacing w:after="0" w:line="286" w:lineRule="auto"/>
        <w:ind w:left="900" w:right="8507" w:firstLine="0"/>
        <w:jc w:val="left"/>
      </w:pPr>
      <w:r>
        <w:t xml:space="preserve"> </w:t>
      </w:r>
      <w:r>
        <w:rPr>
          <w:b/>
        </w:rPr>
        <w:t xml:space="preserve"> </w:t>
      </w:r>
    </w:p>
    <w:p w:rsidR="006B7123" w:rsidRDefault="00000000">
      <w:pPr>
        <w:numPr>
          <w:ilvl w:val="0"/>
          <w:numId w:val="3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t>Vodovodní přípojka:</w:t>
      </w:r>
      <w:r>
        <w:rPr>
          <w:b/>
        </w:rPr>
        <w:t xml:space="preserve"> </w:t>
      </w:r>
    </w:p>
    <w:p w:rsidR="006B7123" w:rsidRDefault="00000000">
      <w:pPr>
        <w:spacing w:after="26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ind w:left="900" w:firstLine="0"/>
      </w:pPr>
      <w:r>
        <w:t xml:space="preserve">Stávající – beze změny. Neřeší se.  </w:t>
      </w:r>
    </w:p>
    <w:p w:rsidR="006B7123" w:rsidRDefault="00000000">
      <w:pPr>
        <w:spacing w:after="24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spacing w:after="17" w:line="259" w:lineRule="auto"/>
        <w:ind w:left="900" w:firstLine="0"/>
        <w:jc w:val="left"/>
      </w:pPr>
      <w:r>
        <w:rPr>
          <w:rFonts w:ascii="Verdana" w:eastAsia="Verdana" w:hAnsi="Verdana" w:cs="Verdana"/>
        </w:rPr>
        <w:t xml:space="preserve"> </w:t>
      </w:r>
    </w:p>
    <w:p w:rsidR="006B7123" w:rsidRDefault="00000000">
      <w:pPr>
        <w:spacing w:after="21" w:line="259" w:lineRule="auto"/>
        <w:ind w:left="900" w:firstLine="0"/>
        <w:jc w:val="left"/>
      </w:pPr>
      <w:r>
        <w:rPr>
          <w:rFonts w:ascii="Verdana" w:eastAsia="Verdana" w:hAnsi="Verdana" w:cs="Verdana"/>
        </w:rPr>
        <w:t xml:space="preserve"> </w:t>
      </w:r>
    </w:p>
    <w:p w:rsidR="006B7123" w:rsidRDefault="00000000">
      <w:pPr>
        <w:numPr>
          <w:ilvl w:val="0"/>
          <w:numId w:val="3"/>
        </w:numPr>
        <w:spacing w:after="24" w:line="259" w:lineRule="auto"/>
        <w:ind w:hanging="223"/>
        <w:jc w:val="left"/>
      </w:pPr>
      <w:r>
        <w:rPr>
          <w:b/>
          <w:u w:val="single" w:color="000000"/>
        </w:rPr>
        <w:t>Vnitřní vodovod:</w:t>
      </w:r>
      <w:r>
        <w:rPr>
          <w:b/>
        </w:rPr>
        <w:t xml:space="preserve"> </w:t>
      </w:r>
    </w:p>
    <w:p w:rsidR="006B7123" w:rsidRDefault="00000000">
      <w:pPr>
        <w:spacing w:after="26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ind w:left="77"/>
      </w:pPr>
      <w:r>
        <w:t xml:space="preserve">Rozvod vodovodního potrubí bude proveden z PPR trubek. Rozvody jsou vedeny v drážkách stěn/předstěn a </w:t>
      </w:r>
      <w:proofErr w:type="spellStart"/>
      <w:r>
        <w:t>zaplentovány</w:t>
      </w:r>
      <w:proofErr w:type="spellEnd"/>
      <w:r>
        <w:t>, veškeré potrubí bude opatřeno izolačními návleky (</w:t>
      </w:r>
      <w:proofErr w:type="spellStart"/>
      <w:r>
        <w:t>Mirelon</w:t>
      </w:r>
      <w:proofErr w:type="spellEnd"/>
      <w:r>
        <w:t xml:space="preserve">). </w:t>
      </w:r>
    </w:p>
    <w:p w:rsidR="006B7123" w:rsidRDefault="00000000">
      <w:pPr>
        <w:ind w:left="77"/>
      </w:pPr>
      <w:r>
        <w:t xml:space="preserve">Nové zařizovací předměty budou zásobovány pitnou vodou novým připojovacím potrubím.  </w:t>
      </w:r>
    </w:p>
    <w:p w:rsidR="006B7123" w:rsidRDefault="00000000">
      <w:pPr>
        <w:ind w:left="77"/>
      </w:pPr>
      <w:r>
        <w:t xml:space="preserve">Předpokládaný bod napojení na stávající rozvody studené a teplé užitkové vody je ve stávající umývárně. Po odkrytí bude upřesněno místo </w:t>
      </w:r>
      <w:proofErr w:type="gramStart"/>
      <w:r>
        <w:t>napojení - s</w:t>
      </w:r>
      <w:proofErr w:type="gramEnd"/>
      <w:r>
        <w:t xml:space="preserve"> ohledem na co nejmenší poškození stávajících prostor. </w:t>
      </w:r>
    </w:p>
    <w:p w:rsidR="006B7123" w:rsidRDefault="00000000">
      <w:pPr>
        <w:ind w:left="900" w:firstLine="0"/>
      </w:pPr>
      <w:r>
        <w:t xml:space="preserve">Profily potrubí budou upraveny po odkrytí stávajícího vodovodu – dle návaznosti na </w:t>
      </w:r>
    </w:p>
    <w:p w:rsidR="006B7123" w:rsidRDefault="00000000">
      <w:pPr>
        <w:ind w:left="77" w:firstLine="0"/>
      </w:pPr>
      <w:r>
        <w:t xml:space="preserve">stávající potrubí.  </w:t>
      </w:r>
    </w:p>
    <w:p w:rsidR="006B7123" w:rsidRDefault="00000000">
      <w:pPr>
        <w:ind w:left="77"/>
      </w:pPr>
      <w:r>
        <w:t xml:space="preserve">V místě napojení bude umístěný podružný vodoměr a uzavírací a vypouštěcí kohout. Přesné umístění dvířek bude upřesněno po odkrytí.  </w:t>
      </w:r>
    </w:p>
    <w:p w:rsidR="006B7123" w:rsidRDefault="00000000">
      <w:pPr>
        <w:ind w:left="77"/>
      </w:pPr>
      <w:r>
        <w:t xml:space="preserve">Ohřev TUV bude lokální pro řešenou část objektu. Elektrický bojler bude umístěný v umývárně pod stropem.  </w:t>
      </w:r>
    </w:p>
    <w:p w:rsidR="006B7123" w:rsidRDefault="00000000">
      <w:pPr>
        <w:ind w:left="77"/>
      </w:pPr>
      <w:r>
        <w:t xml:space="preserve">Kuchyňka bude mít samostatný ohřívač </w:t>
      </w:r>
      <w:proofErr w:type="gramStart"/>
      <w:r>
        <w:t>TUV - elektrický</w:t>
      </w:r>
      <w:proofErr w:type="gramEnd"/>
      <w:r>
        <w:t xml:space="preserve"> ohřívač se zásobníkem 10l bude umístěný v kuchyňské lince.  </w:t>
      </w:r>
    </w:p>
    <w:p w:rsidR="006B7123" w:rsidRDefault="00000000">
      <w:pPr>
        <w:ind w:left="900" w:firstLine="0"/>
      </w:pPr>
      <w:r>
        <w:t xml:space="preserve">Potrubí je označeno jmenovitou světlostí. </w:t>
      </w:r>
    </w:p>
    <w:p w:rsidR="006B7123" w:rsidRDefault="00000000">
      <w:pPr>
        <w:ind w:left="77"/>
      </w:pPr>
      <w:r>
        <w:t xml:space="preserve">Dle skutečného tlaku vody v systému budou posouzeny profily jednotlivých </w:t>
      </w:r>
      <w:proofErr w:type="gramStart"/>
      <w:r>
        <w:t>potrubí - mohou</w:t>
      </w:r>
      <w:proofErr w:type="gramEnd"/>
      <w:r>
        <w:t xml:space="preserve"> být upraveny. </w:t>
      </w:r>
    </w:p>
    <w:p w:rsidR="006B7123" w:rsidRDefault="00000000">
      <w:pPr>
        <w:ind w:left="77"/>
      </w:pPr>
      <w:r>
        <w:t xml:space="preserve">Tloušťka tepelné izolace potrubí je </w:t>
      </w:r>
      <w:proofErr w:type="gramStart"/>
      <w:r>
        <w:t>6mm</w:t>
      </w:r>
      <w:proofErr w:type="gramEnd"/>
      <w:r>
        <w:t xml:space="preserve"> na potrubí SV (potrubí bude vedeno odděleně od potrubí TUV), na potrubí TUV 20mm (DN15, DN20), 30mm (DN32), 40mm (DN40). </w:t>
      </w:r>
    </w:p>
    <w:p w:rsidR="006B7123" w:rsidRDefault="00000000">
      <w:pPr>
        <w:spacing w:after="21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spacing w:after="19" w:line="259" w:lineRule="auto"/>
        <w:ind w:left="900" w:firstLine="0"/>
        <w:jc w:val="left"/>
      </w:pPr>
      <w:r>
        <w:rPr>
          <w:rFonts w:ascii="Verdana" w:eastAsia="Verdana" w:hAnsi="Verdana" w:cs="Verdana"/>
          <w:b/>
        </w:rPr>
        <w:t xml:space="preserve"> </w:t>
      </w:r>
    </w:p>
    <w:p w:rsidR="006B7123" w:rsidRDefault="00000000">
      <w:pPr>
        <w:spacing w:after="19" w:line="259" w:lineRule="auto"/>
        <w:ind w:left="900" w:firstLine="0"/>
        <w:jc w:val="left"/>
      </w:pPr>
      <w:r>
        <w:rPr>
          <w:rFonts w:ascii="Verdana" w:eastAsia="Verdana" w:hAnsi="Verdana" w:cs="Verdana"/>
          <w:b/>
        </w:rPr>
        <w:t xml:space="preserve"> </w:t>
      </w:r>
    </w:p>
    <w:p w:rsidR="006B7123" w:rsidRDefault="00000000">
      <w:pPr>
        <w:spacing w:after="24" w:line="259" w:lineRule="auto"/>
        <w:ind w:left="895" w:hanging="10"/>
        <w:jc w:val="left"/>
      </w:pPr>
      <w:r>
        <w:rPr>
          <w:b/>
          <w:u w:val="single" w:color="000000"/>
        </w:rPr>
        <w:t>8. Závěr:</w:t>
      </w:r>
      <w:r>
        <w:rPr>
          <w:b/>
        </w:rPr>
        <w:t xml:space="preserve"> </w:t>
      </w:r>
    </w:p>
    <w:p w:rsidR="006B7123" w:rsidRDefault="00000000">
      <w:pPr>
        <w:spacing w:after="24" w:line="259" w:lineRule="auto"/>
        <w:ind w:left="900" w:firstLine="0"/>
        <w:jc w:val="left"/>
      </w:pPr>
      <w:r>
        <w:t xml:space="preserve"> </w:t>
      </w:r>
    </w:p>
    <w:p w:rsidR="006B7123" w:rsidRDefault="00000000">
      <w:pPr>
        <w:ind w:left="77"/>
      </w:pPr>
      <w:r>
        <w:t>Při provádění musí být dodržena bezpečnost práce a montáž musí být provedena dle všech platných předpisů a norem pro výstavbu kanalizací, vodovodů a plynovodů a podmínky u příslušných organizací a orgánů, které se k příslušným stavbám vyjádřily.</w:t>
      </w:r>
      <w:r>
        <w:rPr>
          <w:sz w:val="22"/>
        </w:rPr>
        <w:t xml:space="preserve"> </w:t>
      </w:r>
    </w:p>
    <w:sectPr w:rsidR="006B71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00"/>
      <w:pgMar w:top="1533" w:right="1308" w:bottom="1816" w:left="1133" w:header="757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4EF6" w:rsidRDefault="008A4EF6">
      <w:pPr>
        <w:spacing w:after="0" w:line="240" w:lineRule="auto"/>
      </w:pPr>
      <w:r>
        <w:separator/>
      </w:r>
    </w:p>
  </w:endnote>
  <w:endnote w:type="continuationSeparator" w:id="0">
    <w:p w:rsidR="008A4EF6" w:rsidRDefault="008A4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23" w:rsidRDefault="00000000">
    <w:pPr>
      <w:spacing w:after="0" w:line="259" w:lineRule="auto"/>
      <w:ind w:left="416" w:firstLine="0"/>
      <w:jc w:val="left"/>
    </w:pPr>
    <w:r>
      <w:rPr>
        <w:rFonts w:ascii="Verdana" w:eastAsia="Verdana" w:hAnsi="Verdana" w:cs="Verdana"/>
        <w:sz w:val="18"/>
      </w:rPr>
      <w:t>Umístění kanceláří a zázemí odboru sociální péče MML v 1.NP administrativního objektu URAN</w:t>
    </w:r>
    <w:r>
      <w:rPr>
        <w:rFonts w:ascii="Verdana" w:eastAsia="Verdana" w:hAnsi="Verdana" w:cs="Verdana"/>
      </w:rPr>
      <w:t xml:space="preserve"> </w:t>
    </w:r>
  </w:p>
  <w:p w:rsidR="006B7123" w:rsidRDefault="00000000">
    <w:pPr>
      <w:spacing w:after="0" w:line="259" w:lineRule="auto"/>
      <w:ind w:left="172" w:firstLine="0"/>
      <w:jc w:val="center"/>
    </w:pPr>
    <w:r>
      <w:rPr>
        <w:rFonts w:ascii="Verdana" w:eastAsia="Verdana" w:hAnsi="Verdana" w:cs="Verdana"/>
      </w:rPr>
      <w:t xml:space="preserve">D.1.2.1 ZDRAVOTNĚ TECHNICKÉ INSTALACE </w:t>
    </w:r>
  </w:p>
  <w:p w:rsidR="006B7123" w:rsidRDefault="00000000">
    <w:pPr>
      <w:tabs>
        <w:tab w:val="center" w:pos="4817"/>
      </w:tabs>
      <w:spacing w:after="2" w:line="259" w:lineRule="auto"/>
      <w:ind w:left="0" w:firstLine="0"/>
      <w:jc w:val="left"/>
    </w:pPr>
    <w:r>
      <w:rPr>
        <w:rFonts w:ascii="Verdana" w:eastAsia="Verdana" w:hAnsi="Verdana" w:cs="Verdana"/>
      </w:rPr>
      <w:t xml:space="preserve"> </w:t>
    </w:r>
    <w:r>
      <w:rPr>
        <w:rFonts w:ascii="Verdana" w:eastAsia="Verdana" w:hAnsi="Verdana" w:cs="Verdana"/>
      </w:rPr>
      <w:tab/>
      <w:t xml:space="preserve">Stránka|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</w:rPr>
      <w:t>1</w:t>
    </w:r>
    <w:r>
      <w:rPr>
        <w:rFonts w:ascii="Verdana" w:eastAsia="Verdana" w:hAnsi="Verdana" w:cs="Verdana"/>
      </w:rPr>
      <w:fldChar w:fldCharType="end"/>
    </w:r>
    <w:r>
      <w:rPr>
        <w:rFonts w:ascii="Verdana" w:eastAsia="Verdana" w:hAnsi="Verdana" w:cs="Verdana"/>
      </w:rPr>
      <w:t xml:space="preserve"> </w:t>
    </w:r>
  </w:p>
  <w:p w:rsidR="006B7123" w:rsidRDefault="0000000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23" w:rsidRDefault="00000000">
    <w:pPr>
      <w:spacing w:after="0" w:line="259" w:lineRule="auto"/>
      <w:ind w:left="416" w:firstLine="0"/>
      <w:jc w:val="left"/>
    </w:pPr>
    <w:r>
      <w:rPr>
        <w:rFonts w:ascii="Verdana" w:eastAsia="Verdana" w:hAnsi="Verdana" w:cs="Verdana"/>
        <w:sz w:val="18"/>
      </w:rPr>
      <w:t>Umístění kanceláří a zázemí odboru sociální péče MML v 1.NP administrativního objektu URAN</w:t>
    </w:r>
    <w:r>
      <w:rPr>
        <w:rFonts w:ascii="Verdana" w:eastAsia="Verdana" w:hAnsi="Verdana" w:cs="Verdana"/>
      </w:rPr>
      <w:t xml:space="preserve"> </w:t>
    </w:r>
  </w:p>
  <w:p w:rsidR="006B7123" w:rsidRDefault="00000000">
    <w:pPr>
      <w:spacing w:after="0" w:line="259" w:lineRule="auto"/>
      <w:ind w:left="172" w:firstLine="0"/>
      <w:jc w:val="center"/>
    </w:pPr>
    <w:r>
      <w:rPr>
        <w:rFonts w:ascii="Verdana" w:eastAsia="Verdana" w:hAnsi="Verdana" w:cs="Verdana"/>
      </w:rPr>
      <w:t xml:space="preserve">D.1.2.1 ZDRAVOTNĚ TECHNICKÉ INSTALACE </w:t>
    </w:r>
  </w:p>
  <w:p w:rsidR="006B7123" w:rsidRDefault="00000000">
    <w:pPr>
      <w:tabs>
        <w:tab w:val="center" w:pos="4817"/>
      </w:tabs>
      <w:spacing w:after="2" w:line="259" w:lineRule="auto"/>
      <w:ind w:left="0" w:firstLine="0"/>
      <w:jc w:val="left"/>
    </w:pPr>
    <w:r>
      <w:rPr>
        <w:rFonts w:ascii="Verdana" w:eastAsia="Verdana" w:hAnsi="Verdana" w:cs="Verdana"/>
      </w:rPr>
      <w:t xml:space="preserve"> </w:t>
    </w:r>
    <w:r>
      <w:rPr>
        <w:rFonts w:ascii="Verdana" w:eastAsia="Verdana" w:hAnsi="Verdana" w:cs="Verdana"/>
      </w:rPr>
      <w:tab/>
      <w:t xml:space="preserve">Stránka|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</w:rPr>
      <w:t>1</w:t>
    </w:r>
    <w:r>
      <w:rPr>
        <w:rFonts w:ascii="Verdana" w:eastAsia="Verdana" w:hAnsi="Verdana" w:cs="Verdana"/>
      </w:rPr>
      <w:fldChar w:fldCharType="end"/>
    </w:r>
    <w:r>
      <w:rPr>
        <w:rFonts w:ascii="Verdana" w:eastAsia="Verdana" w:hAnsi="Verdana" w:cs="Verdana"/>
      </w:rPr>
      <w:t xml:space="preserve"> </w:t>
    </w:r>
  </w:p>
  <w:p w:rsidR="006B7123" w:rsidRDefault="0000000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23" w:rsidRDefault="00000000">
    <w:pPr>
      <w:spacing w:after="0" w:line="259" w:lineRule="auto"/>
      <w:ind w:left="416" w:firstLine="0"/>
      <w:jc w:val="left"/>
    </w:pPr>
    <w:r>
      <w:rPr>
        <w:rFonts w:ascii="Verdana" w:eastAsia="Verdana" w:hAnsi="Verdana" w:cs="Verdana"/>
        <w:sz w:val="18"/>
      </w:rPr>
      <w:t>Umístění kanceláří a zázemí odboru sociální péče MML v 1.NP administrativního objektu URAN</w:t>
    </w:r>
    <w:r>
      <w:rPr>
        <w:rFonts w:ascii="Verdana" w:eastAsia="Verdana" w:hAnsi="Verdana" w:cs="Verdana"/>
      </w:rPr>
      <w:t xml:space="preserve"> </w:t>
    </w:r>
  </w:p>
  <w:p w:rsidR="006B7123" w:rsidRDefault="00000000">
    <w:pPr>
      <w:spacing w:after="0" w:line="259" w:lineRule="auto"/>
      <w:ind w:left="172" w:firstLine="0"/>
      <w:jc w:val="center"/>
    </w:pPr>
    <w:r>
      <w:rPr>
        <w:rFonts w:ascii="Verdana" w:eastAsia="Verdana" w:hAnsi="Verdana" w:cs="Verdana"/>
      </w:rPr>
      <w:t xml:space="preserve">D.1.2.1 ZDRAVOTNĚ TECHNICKÉ INSTALACE </w:t>
    </w:r>
  </w:p>
  <w:p w:rsidR="006B7123" w:rsidRDefault="00000000">
    <w:pPr>
      <w:tabs>
        <w:tab w:val="center" w:pos="4817"/>
      </w:tabs>
      <w:spacing w:after="2" w:line="259" w:lineRule="auto"/>
      <w:ind w:left="0" w:firstLine="0"/>
      <w:jc w:val="left"/>
    </w:pPr>
    <w:r>
      <w:rPr>
        <w:rFonts w:ascii="Verdana" w:eastAsia="Verdana" w:hAnsi="Verdana" w:cs="Verdana"/>
      </w:rPr>
      <w:t xml:space="preserve"> </w:t>
    </w:r>
    <w:r>
      <w:rPr>
        <w:rFonts w:ascii="Verdana" w:eastAsia="Verdana" w:hAnsi="Verdana" w:cs="Verdana"/>
      </w:rPr>
      <w:tab/>
      <w:t xml:space="preserve">Stránka|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</w:rPr>
      <w:t>1</w:t>
    </w:r>
    <w:r>
      <w:rPr>
        <w:rFonts w:ascii="Verdana" w:eastAsia="Verdana" w:hAnsi="Verdana" w:cs="Verdana"/>
      </w:rPr>
      <w:fldChar w:fldCharType="end"/>
    </w:r>
    <w:r>
      <w:rPr>
        <w:rFonts w:ascii="Verdana" w:eastAsia="Verdana" w:hAnsi="Verdana" w:cs="Verdana"/>
      </w:rPr>
      <w:t xml:space="preserve"> </w:t>
    </w:r>
  </w:p>
  <w:p w:rsidR="006B7123" w:rsidRDefault="0000000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4EF6" w:rsidRDefault="008A4EF6">
      <w:pPr>
        <w:spacing w:after="0" w:line="240" w:lineRule="auto"/>
      </w:pPr>
      <w:r>
        <w:separator/>
      </w:r>
    </w:p>
  </w:footnote>
  <w:footnote w:type="continuationSeparator" w:id="0">
    <w:p w:rsidR="008A4EF6" w:rsidRDefault="008A4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23" w:rsidRDefault="00000000">
    <w:pPr>
      <w:spacing w:after="0" w:line="259" w:lineRule="auto"/>
      <w:ind w:left="65" w:right="-17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617220</wp:posOffset>
              </wp:positionV>
              <wp:extent cx="6156706" cy="6096"/>
              <wp:effectExtent l="0" t="0" r="0" b="0"/>
              <wp:wrapSquare wrapText="bothSides"/>
              <wp:docPr id="7357" name="Group 73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706" cy="6096"/>
                        <a:chOff x="0" y="0"/>
                        <a:chExt cx="6156706" cy="6096"/>
                      </a:xfrm>
                    </wpg:grpSpPr>
                    <wps:wsp>
                      <wps:cNvPr id="7569" name="Shape 7569"/>
                      <wps:cNvSpPr/>
                      <wps:spPr>
                        <a:xfrm>
                          <a:off x="0" y="0"/>
                          <a:ext cx="615670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706" h="9144">
                              <a:moveTo>
                                <a:pt x="0" y="0"/>
                              </a:moveTo>
                              <a:lnTo>
                                <a:pt x="6156706" y="0"/>
                              </a:lnTo>
                              <a:lnTo>
                                <a:pt x="61567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357" style="width:484.78pt;height:0.47998pt;position:absolute;mso-position-horizontal-relative:page;mso-position-horizontal:absolute;margin-left:55.2pt;mso-position-vertical-relative:page;margin-top:48.6pt;" coordsize="61567,60">
              <v:shape id="Shape 7570" style="position:absolute;width:61567;height:91;left:0;top:0;" coordsize="6156706,9144" path="m0,0l6156706,0l6156706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Verdana" w:eastAsia="Verdana" w:hAnsi="Verdana" w:cs="Verdana"/>
      </w:rPr>
      <w:t xml:space="preserve">říjen 2025                                                                        vypracoval: </w:t>
    </w:r>
    <w:proofErr w:type="spellStart"/>
    <w:proofErr w:type="gramStart"/>
    <w:r>
      <w:rPr>
        <w:rFonts w:ascii="Verdana" w:eastAsia="Verdana" w:hAnsi="Verdana" w:cs="Verdana"/>
      </w:rPr>
      <w:t>Ing.arch.Jana</w:t>
    </w:r>
    <w:proofErr w:type="spellEnd"/>
    <w:proofErr w:type="gramEnd"/>
    <w:r>
      <w:rPr>
        <w:rFonts w:ascii="Verdana" w:eastAsia="Verdana" w:hAnsi="Verdana" w:cs="Verdana"/>
      </w:rPr>
      <w:t xml:space="preserve"> Vinšová </w:t>
    </w:r>
  </w:p>
  <w:p w:rsidR="006B7123" w:rsidRDefault="00000000">
    <w:pPr>
      <w:spacing w:after="17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:rsidR="006B7123" w:rsidRDefault="0000000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23" w:rsidRDefault="00000000">
    <w:pPr>
      <w:spacing w:after="0" w:line="259" w:lineRule="auto"/>
      <w:ind w:left="65" w:right="-17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617220</wp:posOffset>
              </wp:positionV>
              <wp:extent cx="6156706" cy="6096"/>
              <wp:effectExtent l="0" t="0" r="0" b="0"/>
              <wp:wrapSquare wrapText="bothSides"/>
              <wp:docPr id="7289" name="Group 72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706" cy="6096"/>
                        <a:chOff x="0" y="0"/>
                        <a:chExt cx="6156706" cy="6096"/>
                      </a:xfrm>
                    </wpg:grpSpPr>
                    <wps:wsp>
                      <wps:cNvPr id="7567" name="Shape 7567"/>
                      <wps:cNvSpPr/>
                      <wps:spPr>
                        <a:xfrm>
                          <a:off x="0" y="0"/>
                          <a:ext cx="615670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706" h="9144">
                              <a:moveTo>
                                <a:pt x="0" y="0"/>
                              </a:moveTo>
                              <a:lnTo>
                                <a:pt x="6156706" y="0"/>
                              </a:lnTo>
                              <a:lnTo>
                                <a:pt x="61567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289" style="width:484.78pt;height:0.47998pt;position:absolute;mso-position-horizontal-relative:page;mso-position-horizontal:absolute;margin-left:55.2pt;mso-position-vertical-relative:page;margin-top:48.6pt;" coordsize="61567,60">
              <v:shape id="Shape 7568" style="position:absolute;width:61567;height:91;left:0;top:0;" coordsize="6156706,9144" path="m0,0l6156706,0l6156706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Verdana" w:eastAsia="Verdana" w:hAnsi="Verdana" w:cs="Verdana"/>
      </w:rPr>
      <w:t xml:space="preserve">říjen 2025                                                                        vypracoval: </w:t>
    </w:r>
    <w:proofErr w:type="spellStart"/>
    <w:proofErr w:type="gramStart"/>
    <w:r>
      <w:rPr>
        <w:rFonts w:ascii="Verdana" w:eastAsia="Verdana" w:hAnsi="Verdana" w:cs="Verdana"/>
      </w:rPr>
      <w:t>Ing.arch.Jana</w:t>
    </w:r>
    <w:proofErr w:type="spellEnd"/>
    <w:proofErr w:type="gramEnd"/>
    <w:r>
      <w:rPr>
        <w:rFonts w:ascii="Verdana" w:eastAsia="Verdana" w:hAnsi="Verdana" w:cs="Verdana"/>
      </w:rPr>
      <w:t xml:space="preserve"> Vinšová </w:t>
    </w:r>
  </w:p>
  <w:p w:rsidR="006B7123" w:rsidRDefault="00000000">
    <w:pPr>
      <w:spacing w:after="17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:rsidR="006B7123" w:rsidRDefault="0000000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23" w:rsidRDefault="00000000">
    <w:pPr>
      <w:spacing w:after="0" w:line="259" w:lineRule="auto"/>
      <w:ind w:left="65" w:right="-17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617220</wp:posOffset>
              </wp:positionV>
              <wp:extent cx="6156706" cy="6096"/>
              <wp:effectExtent l="0" t="0" r="0" b="0"/>
              <wp:wrapSquare wrapText="bothSides"/>
              <wp:docPr id="7221" name="Group 72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706" cy="6096"/>
                        <a:chOff x="0" y="0"/>
                        <a:chExt cx="6156706" cy="6096"/>
                      </a:xfrm>
                    </wpg:grpSpPr>
                    <wps:wsp>
                      <wps:cNvPr id="7565" name="Shape 7565"/>
                      <wps:cNvSpPr/>
                      <wps:spPr>
                        <a:xfrm>
                          <a:off x="0" y="0"/>
                          <a:ext cx="615670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706" h="9144">
                              <a:moveTo>
                                <a:pt x="0" y="0"/>
                              </a:moveTo>
                              <a:lnTo>
                                <a:pt x="6156706" y="0"/>
                              </a:lnTo>
                              <a:lnTo>
                                <a:pt x="61567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221" style="width:484.78pt;height:0.47998pt;position:absolute;mso-position-horizontal-relative:page;mso-position-horizontal:absolute;margin-left:55.2pt;mso-position-vertical-relative:page;margin-top:48.6pt;" coordsize="61567,60">
              <v:shape id="Shape 7566" style="position:absolute;width:61567;height:91;left:0;top:0;" coordsize="6156706,9144" path="m0,0l6156706,0l6156706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Verdana" w:eastAsia="Verdana" w:hAnsi="Verdana" w:cs="Verdana"/>
      </w:rPr>
      <w:t xml:space="preserve">říjen 2025                                                                        vypracoval: </w:t>
    </w:r>
    <w:proofErr w:type="spellStart"/>
    <w:proofErr w:type="gramStart"/>
    <w:r>
      <w:rPr>
        <w:rFonts w:ascii="Verdana" w:eastAsia="Verdana" w:hAnsi="Verdana" w:cs="Verdana"/>
      </w:rPr>
      <w:t>Ing.arch.Jana</w:t>
    </w:r>
    <w:proofErr w:type="spellEnd"/>
    <w:proofErr w:type="gramEnd"/>
    <w:r>
      <w:rPr>
        <w:rFonts w:ascii="Verdana" w:eastAsia="Verdana" w:hAnsi="Verdana" w:cs="Verdana"/>
      </w:rPr>
      <w:t xml:space="preserve"> Vinšová </w:t>
    </w:r>
  </w:p>
  <w:p w:rsidR="006B7123" w:rsidRDefault="00000000">
    <w:pPr>
      <w:spacing w:after="17"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:rsidR="006B7123" w:rsidRDefault="00000000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20C"/>
    <w:multiLevelType w:val="hybridMultilevel"/>
    <w:tmpl w:val="BE7E6DFA"/>
    <w:lvl w:ilvl="0" w:tplc="8F1250A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F2443E">
      <w:start w:val="1"/>
      <w:numFmt w:val="bullet"/>
      <w:lvlText w:val="-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D631E6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BAF62A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1AA2B0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BA8F74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D487FE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6AA9DC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E6DCDA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A83291"/>
    <w:multiLevelType w:val="hybridMultilevel"/>
    <w:tmpl w:val="5CE4ECCC"/>
    <w:lvl w:ilvl="0" w:tplc="ED126E80">
      <w:start w:val="5"/>
      <w:numFmt w:val="decimal"/>
      <w:lvlText w:val="%1."/>
      <w:lvlJc w:val="left"/>
      <w:pPr>
        <w:ind w:left="1108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A5C4DECA">
      <w:start w:val="1"/>
      <w:numFmt w:val="lowerLetter"/>
      <w:lvlText w:val="%2"/>
      <w:lvlJc w:val="left"/>
      <w:pPr>
        <w:ind w:left="184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088D1C">
      <w:start w:val="1"/>
      <w:numFmt w:val="lowerRoman"/>
      <w:lvlText w:val="%3"/>
      <w:lvlJc w:val="left"/>
      <w:pPr>
        <w:ind w:left="256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E4A64D4E">
      <w:start w:val="1"/>
      <w:numFmt w:val="decimal"/>
      <w:lvlText w:val="%4"/>
      <w:lvlJc w:val="left"/>
      <w:pPr>
        <w:ind w:left="328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2E6ADEDA">
      <w:start w:val="1"/>
      <w:numFmt w:val="lowerLetter"/>
      <w:lvlText w:val="%5"/>
      <w:lvlJc w:val="left"/>
      <w:pPr>
        <w:ind w:left="400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F384C82A">
      <w:start w:val="1"/>
      <w:numFmt w:val="lowerRoman"/>
      <w:lvlText w:val="%6"/>
      <w:lvlJc w:val="left"/>
      <w:pPr>
        <w:ind w:left="472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839EE824">
      <w:start w:val="1"/>
      <w:numFmt w:val="decimal"/>
      <w:lvlText w:val="%7"/>
      <w:lvlJc w:val="left"/>
      <w:pPr>
        <w:ind w:left="544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67521C86">
      <w:start w:val="1"/>
      <w:numFmt w:val="lowerLetter"/>
      <w:lvlText w:val="%8"/>
      <w:lvlJc w:val="left"/>
      <w:pPr>
        <w:ind w:left="616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B1384B2C">
      <w:start w:val="1"/>
      <w:numFmt w:val="lowerRoman"/>
      <w:lvlText w:val="%9"/>
      <w:lvlJc w:val="left"/>
      <w:pPr>
        <w:ind w:left="688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D25FBA"/>
    <w:multiLevelType w:val="hybridMultilevel"/>
    <w:tmpl w:val="3818537E"/>
    <w:lvl w:ilvl="0" w:tplc="882A3400">
      <w:start w:val="1"/>
      <w:numFmt w:val="decimal"/>
      <w:lvlText w:val="%1."/>
      <w:lvlJc w:val="left"/>
      <w:pPr>
        <w:ind w:left="8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06C422">
      <w:start w:val="1"/>
      <w:numFmt w:val="decimal"/>
      <w:lvlText w:val="%2."/>
      <w:lvlJc w:val="left"/>
      <w:pPr>
        <w:ind w:left="1108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D718359E">
      <w:start w:val="1"/>
      <w:numFmt w:val="lowerRoman"/>
      <w:lvlText w:val="%3"/>
      <w:lvlJc w:val="left"/>
      <w:pPr>
        <w:ind w:left="188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65AAB0B0">
      <w:start w:val="1"/>
      <w:numFmt w:val="decimal"/>
      <w:lvlText w:val="%4"/>
      <w:lvlJc w:val="left"/>
      <w:pPr>
        <w:ind w:left="260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9006488">
      <w:start w:val="1"/>
      <w:numFmt w:val="lowerLetter"/>
      <w:lvlText w:val="%5"/>
      <w:lvlJc w:val="left"/>
      <w:pPr>
        <w:ind w:left="332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3F0408E8">
      <w:start w:val="1"/>
      <w:numFmt w:val="lowerRoman"/>
      <w:lvlText w:val="%6"/>
      <w:lvlJc w:val="left"/>
      <w:pPr>
        <w:ind w:left="404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F96EFB0">
      <w:start w:val="1"/>
      <w:numFmt w:val="decimal"/>
      <w:lvlText w:val="%7"/>
      <w:lvlJc w:val="left"/>
      <w:pPr>
        <w:ind w:left="476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E2A44268">
      <w:start w:val="1"/>
      <w:numFmt w:val="lowerLetter"/>
      <w:lvlText w:val="%8"/>
      <w:lvlJc w:val="left"/>
      <w:pPr>
        <w:ind w:left="548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25A86">
      <w:start w:val="1"/>
      <w:numFmt w:val="lowerRoman"/>
      <w:lvlText w:val="%9"/>
      <w:lvlJc w:val="left"/>
      <w:pPr>
        <w:ind w:left="6209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 w16cid:durableId="322783408">
    <w:abstractNumId w:val="2"/>
  </w:num>
  <w:num w:numId="2" w16cid:durableId="1823544022">
    <w:abstractNumId w:val="0"/>
  </w:num>
  <w:num w:numId="3" w16cid:durableId="63111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123"/>
    <w:rsid w:val="005C793C"/>
    <w:rsid w:val="006B7123"/>
    <w:rsid w:val="008A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2622DD9-CA62-8149-99F7-0DA3CB17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7" w:line="282" w:lineRule="auto"/>
      <w:ind w:left="92" w:firstLine="799"/>
      <w:jc w:val="both"/>
    </w:pPr>
    <w:rPr>
      <w:rFonts w:ascii="Century Gothic" w:eastAsia="Century Gothic" w:hAnsi="Century Gothic" w:cs="Century Gothic"/>
      <w:color w:val="000000"/>
      <w:sz w:val="20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Investor: MUDr</dc:title>
  <dc:subject/>
  <dc:creator>HARTA PROJEKT</dc:creator>
  <cp:keywords/>
  <cp:lastModifiedBy>Jiří Žid</cp:lastModifiedBy>
  <cp:revision>2</cp:revision>
  <dcterms:created xsi:type="dcterms:W3CDTF">2026-02-09T05:17:00Z</dcterms:created>
  <dcterms:modified xsi:type="dcterms:W3CDTF">2026-02-09T05:17:00Z</dcterms:modified>
</cp:coreProperties>
</file>